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FA" w:rsidRPr="00434560" w:rsidRDefault="001C1DFA" w:rsidP="001C1DFA">
      <w:pPr>
        <w:spacing w:line="240" w:lineRule="atLeast"/>
        <w:jc w:val="center"/>
        <w:rPr>
          <w:b/>
          <w:sz w:val="28"/>
          <w:szCs w:val="28"/>
          <w:lang w:val="nl-NL"/>
        </w:rPr>
      </w:pPr>
      <w:r w:rsidRPr="00434560">
        <w:rPr>
          <w:b/>
          <w:sz w:val="28"/>
          <w:szCs w:val="28"/>
          <w:lang w:val="nl-NL"/>
        </w:rPr>
        <w:t>GIẢI THÍCH BIỂU MẪU SỐ 1</w:t>
      </w:r>
      <w:r w:rsidR="009A7E57">
        <w:rPr>
          <w:b/>
          <w:sz w:val="28"/>
          <w:szCs w:val="28"/>
          <w:lang w:val="nl-NL"/>
        </w:rPr>
        <w:t>3</w:t>
      </w:r>
      <w:r w:rsidRPr="00434560">
        <w:rPr>
          <w:b/>
          <w:sz w:val="28"/>
          <w:szCs w:val="28"/>
          <w:lang w:val="nl-NL"/>
        </w:rPr>
        <w:t>/TK-THA</w:t>
      </w:r>
      <w:r w:rsidR="00E05BEF">
        <w:rPr>
          <w:b/>
          <w:sz w:val="28"/>
          <w:szCs w:val="28"/>
          <w:lang w:val="nl-NL"/>
        </w:rPr>
        <w:t>HC</w:t>
      </w:r>
    </w:p>
    <w:p w:rsidR="001C1DFA" w:rsidRPr="00434560" w:rsidRDefault="001C1DFA" w:rsidP="001C1DFA">
      <w:pPr>
        <w:spacing w:line="240" w:lineRule="atLeast"/>
        <w:jc w:val="center"/>
        <w:rPr>
          <w:b/>
          <w:sz w:val="28"/>
          <w:szCs w:val="28"/>
          <w:lang w:val="nl-NL"/>
        </w:rPr>
      </w:pPr>
      <w:r>
        <w:rPr>
          <w:b/>
          <w:sz w:val="28"/>
          <w:szCs w:val="28"/>
          <w:lang w:val="nl-NL"/>
        </w:rPr>
        <w:t>Kết qủa theo dõi thi hành hành chính của cơ quan thi hành án dân sự</w:t>
      </w:r>
    </w:p>
    <w:p w:rsidR="00EB4FF2" w:rsidRDefault="00EB4FF2" w:rsidP="001F6C04">
      <w:pPr>
        <w:widowControl w:val="0"/>
        <w:spacing w:before="120" w:after="120" w:line="320" w:lineRule="exact"/>
        <w:ind w:firstLine="709"/>
        <w:jc w:val="both"/>
        <w:rPr>
          <w:b/>
          <w:sz w:val="28"/>
          <w:szCs w:val="28"/>
          <w:lang w:val="nl-NL"/>
        </w:rPr>
      </w:pPr>
      <w:r w:rsidRPr="00434560">
        <w:rPr>
          <w:b/>
          <w:noProof/>
          <w:sz w:val="28"/>
          <w:szCs w:val="28"/>
        </w:rPr>
        <mc:AlternateContent>
          <mc:Choice Requires="wps">
            <w:drawing>
              <wp:anchor distT="0" distB="0" distL="114300" distR="114300" simplePos="0" relativeHeight="251657728" behindDoc="0" locked="0" layoutInCell="1" allowOverlap="1" wp14:anchorId="2111A01E" wp14:editId="3C387152">
                <wp:simplePos x="0" y="0"/>
                <wp:positionH relativeFrom="column">
                  <wp:posOffset>2321560</wp:posOffset>
                </wp:positionH>
                <wp:positionV relativeFrom="paragraph">
                  <wp:posOffset>66040</wp:posOffset>
                </wp:positionV>
                <wp:extent cx="1118870" cy="0"/>
                <wp:effectExtent l="0" t="0" r="24130" b="1905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E2104" id="_x0000_t32" coordsize="21600,21600" o:spt="32" o:oned="t" path="m,l21600,21600e" filled="f">
                <v:path arrowok="t" fillok="f" o:connecttype="none"/>
                <o:lock v:ext="edit" shapetype="t"/>
              </v:shapetype>
              <v:shape id="AutoShape 53" o:spid="_x0000_s1026" type="#_x0000_t32" style="position:absolute;margin-left:182.8pt;margin-top:5.2pt;width:8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r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OHsJ/BuALCKrW1YUJ6VK/mRdPvDilddUS1PEa/nQwkZyEjeZcSLs5Ald3wWTOIIVAg&#10;LuvY2D5AwhrQMXJyunHCjx5R+Jhl2Xz+CN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PUbUg/dAAAACQEAAA8AAABkcnMvZG93bnJldi54bWxMj8FOwzAQ&#10;RO9I/IO1SFwQtVOaqA1xqgqJA0faSlzdeEkC8TqKnSb061nEAY478zQ7U2xn14kzDqH1pCFZKBBI&#10;lbct1RqOh+f7NYgQDVnTeUINXxhgW15fFSa3fqJXPO9jLTiEQm40NDH2uZShatCZsPA9EnvvfnAm&#10;8jnU0g5m4nDXyaVSmXSmJf7QmB6fGqw+96PTgGFME7XbuPr4cpnu3paXj6k/aH17M+8eQUSc4x8M&#10;P/W5OpTc6eRHskF0Gh6yNGOUDbUCwUC6SnjL6VeQZSH/Lyi/AQAA//8DAFBLAQItABQABgAIAAAA&#10;IQC2gziS/gAAAOEBAAATAAAAAAAAAAAAAAAAAAAAAABbQ29udGVudF9UeXBlc10ueG1sUEsBAi0A&#10;FAAGAAgAAAAhADj9If/WAAAAlAEAAAsAAAAAAAAAAAAAAAAALwEAAF9yZWxzLy5yZWxzUEsBAi0A&#10;FAAGAAgAAAAhAGNHf+sfAgAAPAQAAA4AAAAAAAAAAAAAAAAALgIAAGRycy9lMm9Eb2MueG1sUEsB&#10;Ai0AFAAGAAgAAAAhAPUbUg/dAAAACQEAAA8AAAAAAAAAAAAAAAAAeQQAAGRycy9kb3ducmV2Lnht&#10;bFBLBQYAAAAABAAEAPMAAACDBQAAAAA=&#10;"/>
            </w:pict>
          </mc:Fallback>
        </mc:AlternateContent>
      </w:r>
    </w:p>
    <w:p w:rsidR="001C1DFA" w:rsidRPr="00434560" w:rsidRDefault="001C1DFA" w:rsidP="001F6C04">
      <w:pPr>
        <w:widowControl w:val="0"/>
        <w:spacing w:before="120" w:after="120" w:line="320" w:lineRule="exact"/>
        <w:ind w:firstLine="709"/>
        <w:jc w:val="both"/>
        <w:rPr>
          <w:b/>
          <w:sz w:val="28"/>
          <w:szCs w:val="28"/>
          <w:lang w:val="nl-NL"/>
        </w:rPr>
      </w:pPr>
      <w:r w:rsidRPr="00434560">
        <w:rPr>
          <w:b/>
          <w:sz w:val="28"/>
          <w:szCs w:val="28"/>
          <w:lang w:val="nl-NL"/>
        </w:rPr>
        <w:t>1. Nội dung</w:t>
      </w:r>
    </w:p>
    <w:p w:rsidR="001C1DFA" w:rsidRDefault="001C1DFA" w:rsidP="001F6C04">
      <w:pPr>
        <w:widowControl w:val="0"/>
        <w:spacing w:before="120" w:after="120" w:line="320" w:lineRule="exact"/>
        <w:ind w:firstLine="709"/>
        <w:jc w:val="both"/>
        <w:rPr>
          <w:spacing w:val="-4"/>
          <w:sz w:val="28"/>
          <w:szCs w:val="28"/>
          <w:lang w:val="pt-PT"/>
        </w:rPr>
      </w:pPr>
      <w:r w:rsidRPr="00790D41">
        <w:rPr>
          <w:spacing w:val="-4"/>
          <w:sz w:val="28"/>
          <w:szCs w:val="28"/>
          <w:lang w:val="pt-PT"/>
        </w:rPr>
        <w:t>Chỉ tiêu kết quả theo dõi thi hành án hành chính phản ánh thực chất kết quả công việc của các cơ quan thi hành án dân sự trong việc thực hiện theo dõi thi hành các bản án, quyết định của Tòa án về vụ án hành chính đã có hiệu lực pháp luật thuộc trách nhiệm theo dõi của các cơ q</w:t>
      </w:r>
      <w:r>
        <w:rPr>
          <w:spacing w:val="-4"/>
          <w:sz w:val="28"/>
          <w:szCs w:val="28"/>
          <w:lang w:val="pt-PT"/>
        </w:rPr>
        <w:t>uan thi hành án hành án dân sự.</w:t>
      </w:r>
    </w:p>
    <w:p w:rsidR="001C1DFA" w:rsidRPr="00434560" w:rsidRDefault="001C1DFA" w:rsidP="001F6C04">
      <w:pPr>
        <w:widowControl w:val="0"/>
        <w:spacing w:before="120" w:after="120" w:line="320" w:lineRule="exact"/>
        <w:ind w:firstLine="709"/>
        <w:jc w:val="both"/>
        <w:rPr>
          <w:b/>
          <w:sz w:val="28"/>
          <w:szCs w:val="28"/>
          <w:lang w:val="nl-NL"/>
        </w:rPr>
      </w:pPr>
      <w:r w:rsidRPr="00434560">
        <w:rPr>
          <w:b/>
          <w:sz w:val="28"/>
          <w:szCs w:val="28"/>
          <w:lang w:val="nl-NL"/>
        </w:rPr>
        <w:t>2. Giải thích từ ngữ</w:t>
      </w:r>
    </w:p>
    <w:p w:rsidR="00B7677E" w:rsidRDefault="001C1DFA" w:rsidP="00B7677E">
      <w:pPr>
        <w:widowControl w:val="0"/>
        <w:spacing w:before="120" w:after="120" w:line="320" w:lineRule="exact"/>
        <w:ind w:firstLine="709"/>
        <w:jc w:val="both"/>
        <w:rPr>
          <w:sz w:val="28"/>
          <w:szCs w:val="28"/>
          <w:lang w:val="pt-PT"/>
        </w:rPr>
      </w:pPr>
      <w:r w:rsidRPr="00FC0A28">
        <w:rPr>
          <w:sz w:val="28"/>
          <w:szCs w:val="28"/>
          <w:lang w:val="pt-PT"/>
        </w:rPr>
        <w:t xml:space="preserve">Bản án, quyết định của Tòa án về vụ án hành chính </w:t>
      </w:r>
      <w:r w:rsidR="009A45B4">
        <w:rPr>
          <w:sz w:val="28"/>
          <w:szCs w:val="28"/>
          <w:lang w:val="pt-PT"/>
        </w:rPr>
        <w:t xml:space="preserve">mà </w:t>
      </w:r>
      <w:r w:rsidR="001268AB">
        <w:rPr>
          <w:sz w:val="28"/>
          <w:szCs w:val="28"/>
          <w:lang w:val="pt-PT"/>
        </w:rPr>
        <w:t>c</w:t>
      </w:r>
      <w:r w:rsidRPr="00FC0A28">
        <w:rPr>
          <w:sz w:val="28"/>
          <w:szCs w:val="28"/>
          <w:lang w:val="pt-PT"/>
        </w:rPr>
        <w:t>ơ quan thi hành án dân sự</w:t>
      </w:r>
      <w:r w:rsidR="001268AB">
        <w:rPr>
          <w:sz w:val="28"/>
          <w:szCs w:val="28"/>
          <w:lang w:val="pt-PT"/>
        </w:rPr>
        <w:t xml:space="preserve"> thực hiện theo dõi gồm</w:t>
      </w:r>
      <w:r w:rsidRPr="00FC0A28">
        <w:rPr>
          <w:sz w:val="28"/>
          <w:szCs w:val="28"/>
          <w:lang w:val="pt-PT"/>
        </w:rPr>
        <w:t xml:space="preserve">: </w:t>
      </w:r>
      <w:r w:rsidR="00B7677E" w:rsidRPr="00FC0A28">
        <w:rPr>
          <w:sz w:val="28"/>
          <w:szCs w:val="28"/>
          <w:lang w:val="pt-PT"/>
        </w:rPr>
        <w:t xml:space="preserve">(1) </w:t>
      </w:r>
      <w:r w:rsidR="00B7677E">
        <w:rPr>
          <w:sz w:val="28"/>
          <w:szCs w:val="28"/>
          <w:lang w:val="pt-PT"/>
        </w:rPr>
        <w:t xml:space="preserve">số </w:t>
      </w:r>
      <w:r w:rsidR="00B7677E" w:rsidRPr="00FC0A28">
        <w:rPr>
          <w:sz w:val="28"/>
          <w:szCs w:val="28"/>
          <w:lang w:val="pt-PT"/>
        </w:rPr>
        <w:t xml:space="preserve">bản án, quyết định của Tòa án về vụ án hành chính </w:t>
      </w:r>
      <w:r w:rsidR="00B7677E" w:rsidRPr="00FC0A28">
        <w:rPr>
          <w:sz w:val="28"/>
          <w:szCs w:val="28"/>
          <w:lang w:val="vi-VN"/>
        </w:rPr>
        <w:t>có nội dung tuyên chấp nhận yêu cầu khởi kiện</w:t>
      </w:r>
      <w:r w:rsidR="00B7677E" w:rsidRPr="00FC0A28">
        <w:rPr>
          <w:sz w:val="28"/>
          <w:szCs w:val="28"/>
          <w:lang w:val="pt-PT"/>
        </w:rPr>
        <w:t xml:space="preserve">; (2) </w:t>
      </w:r>
      <w:r w:rsidR="00B7677E">
        <w:rPr>
          <w:sz w:val="28"/>
          <w:szCs w:val="28"/>
          <w:lang w:val="pt-PT"/>
        </w:rPr>
        <w:t xml:space="preserve">quyết định áp dụng biện pháp khẩn cấp tạm thời; (3) quyết định buộc sửa đổi, bổ sung danh sách cử tri; (4) quyết định của Tòa án đã tuyên hủy quyết định kỷ luật buộc thôi việc và (5) </w:t>
      </w:r>
      <w:r w:rsidR="00B7677E" w:rsidRPr="00DE4CD1">
        <w:rPr>
          <w:spacing w:val="2"/>
          <w:sz w:val="28"/>
          <w:szCs w:val="28"/>
        </w:rPr>
        <w:t>bản án</w:t>
      </w:r>
      <w:r w:rsidR="00B7677E">
        <w:rPr>
          <w:spacing w:val="2"/>
          <w:sz w:val="28"/>
          <w:szCs w:val="28"/>
        </w:rPr>
        <w:t>,</w:t>
      </w:r>
      <w:r w:rsidR="00B7677E" w:rsidRPr="00DE4CD1">
        <w:rPr>
          <w:spacing w:val="2"/>
          <w:sz w:val="28"/>
          <w:szCs w:val="28"/>
        </w:rPr>
        <w:t xml:space="preserve"> quyết định khác của Tòa án về vụ án hành chính </w:t>
      </w:r>
      <w:r w:rsidR="00B7677E">
        <w:rPr>
          <w:spacing w:val="2"/>
          <w:sz w:val="28"/>
          <w:szCs w:val="28"/>
        </w:rPr>
        <w:t xml:space="preserve">là: </w:t>
      </w:r>
      <w:r w:rsidR="00B7677E" w:rsidRPr="00DE4CD1">
        <w:rPr>
          <w:spacing w:val="2"/>
          <w:sz w:val="28"/>
          <w:szCs w:val="28"/>
          <w:lang w:val="en-AU"/>
        </w:rPr>
        <w:t>bản án tuyên bác yêu cầu khởi kiện nhưng Tòa án đã ban hành quyết định buộc thi hành án; quyết định áp dụng biện pháp khẩn cấp tạm thời mà người phải thi hành án là cá nhân, tổ chức không phải là cơ quan hành chính nhà nước</w:t>
      </w:r>
      <w:r w:rsidR="00B7677E">
        <w:rPr>
          <w:spacing w:val="2"/>
          <w:sz w:val="28"/>
          <w:szCs w:val="28"/>
          <w:lang w:val="en-AU"/>
        </w:rPr>
        <w:t>.</w:t>
      </w:r>
    </w:p>
    <w:p w:rsidR="001C1DFA" w:rsidRPr="005225D5" w:rsidRDefault="001C1DFA" w:rsidP="001F6C04">
      <w:pPr>
        <w:widowControl w:val="0"/>
        <w:spacing w:before="120" w:after="120" w:line="320" w:lineRule="exact"/>
        <w:ind w:firstLine="709"/>
        <w:jc w:val="both"/>
        <w:rPr>
          <w:i/>
          <w:sz w:val="28"/>
          <w:szCs w:val="28"/>
          <w:lang w:val="nl-NL"/>
        </w:rPr>
      </w:pPr>
      <w:r w:rsidRPr="00434560">
        <w:rPr>
          <w:b/>
          <w:sz w:val="28"/>
          <w:szCs w:val="28"/>
          <w:lang w:val="nl-NL"/>
        </w:rPr>
        <w:t>3. Đơn vị tính</w:t>
      </w:r>
    </w:p>
    <w:p w:rsidR="001C1DFA" w:rsidRDefault="001C1DFA" w:rsidP="001F6C04">
      <w:pPr>
        <w:spacing w:before="120" w:after="120" w:line="320" w:lineRule="exact"/>
        <w:ind w:firstLine="720"/>
        <w:jc w:val="both"/>
        <w:rPr>
          <w:sz w:val="28"/>
          <w:szCs w:val="28"/>
          <w:lang w:val="nl-NL"/>
        </w:rPr>
      </w:pPr>
      <w:r w:rsidRPr="00434560">
        <w:rPr>
          <w:sz w:val="28"/>
          <w:szCs w:val="28"/>
          <w:lang w:val="nl-NL"/>
        </w:rPr>
        <w:t xml:space="preserve">Đơn vị tính trong biểu mẫu được tính bằng “Việc”. Mỗi </w:t>
      </w:r>
      <w:r>
        <w:rPr>
          <w:sz w:val="28"/>
          <w:szCs w:val="28"/>
          <w:lang w:val="nl-NL"/>
        </w:rPr>
        <w:t>bản án, quyết định</w:t>
      </w:r>
      <w:r w:rsidRPr="00434560">
        <w:rPr>
          <w:sz w:val="28"/>
          <w:szCs w:val="28"/>
          <w:lang w:val="nl-NL"/>
        </w:rPr>
        <w:t xml:space="preserve"> theo dõi thi hành án hành chính được tính là một việc.</w:t>
      </w:r>
    </w:p>
    <w:p w:rsidR="001C1DFA" w:rsidRPr="00434560" w:rsidRDefault="001C1DFA" w:rsidP="001F6C04">
      <w:pPr>
        <w:spacing w:before="120" w:after="120" w:line="320" w:lineRule="exact"/>
        <w:ind w:firstLine="720"/>
        <w:jc w:val="both"/>
        <w:rPr>
          <w:b/>
          <w:sz w:val="28"/>
          <w:szCs w:val="28"/>
          <w:lang w:val="nl-NL"/>
        </w:rPr>
      </w:pPr>
      <w:r w:rsidRPr="00434560">
        <w:rPr>
          <w:b/>
          <w:sz w:val="28"/>
          <w:szCs w:val="28"/>
          <w:lang w:val="nl-NL"/>
        </w:rPr>
        <w:t>4. Nguồn số liệu</w:t>
      </w:r>
    </w:p>
    <w:p w:rsidR="001C1DFA" w:rsidRPr="001D4509" w:rsidRDefault="001C1DFA" w:rsidP="001F6C04">
      <w:pPr>
        <w:spacing w:before="120" w:after="120" w:line="320" w:lineRule="exact"/>
        <w:ind w:firstLine="720"/>
        <w:jc w:val="both"/>
        <w:rPr>
          <w:spacing w:val="-4"/>
          <w:sz w:val="28"/>
          <w:szCs w:val="28"/>
          <w:lang w:val="nl-NL"/>
        </w:rPr>
      </w:pPr>
      <w:r w:rsidRPr="001D4509">
        <w:rPr>
          <w:spacing w:val="-4"/>
          <w:sz w:val="28"/>
          <w:szCs w:val="28"/>
          <w:lang w:val="nl-NL"/>
        </w:rPr>
        <w:t xml:space="preserve">Số liệu trong biểu mẫu được lấy từ </w:t>
      </w:r>
      <w:r w:rsidR="00E15790">
        <w:rPr>
          <w:spacing w:val="-4"/>
          <w:sz w:val="28"/>
          <w:szCs w:val="28"/>
          <w:lang w:val="nl-NL"/>
        </w:rPr>
        <w:t>h</w:t>
      </w:r>
      <w:r w:rsidRPr="001D4509">
        <w:rPr>
          <w:spacing w:val="-4"/>
          <w:sz w:val="28"/>
          <w:szCs w:val="28"/>
          <w:lang w:val="nl-NL"/>
        </w:rPr>
        <w:t>ồ sơ theo dõi thi hành án hành chính, báo cáo kết quả thi hành án hành chính của cơ quan hành chính nhà nước, người có thẩm quyền trong cơ quan hành chính nhà nước và các nguồn khác có liên quan.</w:t>
      </w:r>
    </w:p>
    <w:p w:rsidR="001C1DFA" w:rsidRDefault="001C1DFA" w:rsidP="001F6C04">
      <w:pPr>
        <w:spacing w:before="120" w:after="120" w:line="320" w:lineRule="exact"/>
        <w:ind w:firstLine="720"/>
        <w:jc w:val="both"/>
        <w:rPr>
          <w:b/>
          <w:sz w:val="28"/>
          <w:szCs w:val="28"/>
          <w:lang w:val="nl-NL"/>
        </w:rPr>
      </w:pPr>
      <w:r w:rsidRPr="00434560">
        <w:rPr>
          <w:b/>
          <w:sz w:val="28"/>
          <w:szCs w:val="28"/>
          <w:lang w:val="nl-NL"/>
        </w:rPr>
        <w:t xml:space="preserve">5. Phương pháp tính toán trong biểu mẫu và cách ghi biểu </w:t>
      </w:r>
    </w:p>
    <w:p w:rsidR="001C1DFA" w:rsidRPr="00434560" w:rsidRDefault="001C1DFA" w:rsidP="001F6C04">
      <w:pPr>
        <w:spacing w:before="120" w:after="120" w:line="320" w:lineRule="exact"/>
        <w:ind w:firstLine="720"/>
        <w:jc w:val="both"/>
        <w:rPr>
          <w:b/>
          <w:sz w:val="28"/>
          <w:szCs w:val="28"/>
          <w:lang w:val="nl-NL"/>
        </w:rPr>
      </w:pPr>
      <w:r w:rsidRPr="00434560">
        <w:rPr>
          <w:b/>
          <w:sz w:val="28"/>
          <w:szCs w:val="28"/>
          <w:lang w:val="nl-NL"/>
        </w:rPr>
        <w:t>5.1. Cách ghi phần chung</w:t>
      </w:r>
    </w:p>
    <w:p w:rsidR="001C1DFA" w:rsidRPr="00434560" w:rsidRDefault="001C1DFA" w:rsidP="001F6C04">
      <w:pPr>
        <w:spacing w:before="120" w:after="120" w:line="320" w:lineRule="exact"/>
        <w:ind w:firstLine="720"/>
        <w:jc w:val="both"/>
        <w:rPr>
          <w:sz w:val="28"/>
          <w:szCs w:val="28"/>
          <w:lang w:val="nl-NL"/>
        </w:rPr>
      </w:pPr>
      <w:r w:rsidRPr="00434560">
        <w:rPr>
          <w:sz w:val="28"/>
          <w:szCs w:val="28"/>
          <w:lang w:val="nl-NL"/>
        </w:rPr>
        <w:t xml:space="preserve">Các </w:t>
      </w:r>
      <w:r>
        <w:rPr>
          <w:sz w:val="28"/>
          <w:szCs w:val="28"/>
          <w:lang w:val="nl-NL"/>
        </w:rPr>
        <w:t>cột thông tin</w:t>
      </w:r>
      <w:r w:rsidRPr="00434560">
        <w:rPr>
          <w:sz w:val="28"/>
          <w:szCs w:val="28"/>
          <w:lang w:val="nl-NL"/>
        </w:rPr>
        <w:t xml:space="preserve"> trong biểu mẫu phải được </w:t>
      </w:r>
      <w:r>
        <w:rPr>
          <w:sz w:val="28"/>
          <w:szCs w:val="28"/>
          <w:lang w:val="nl-NL"/>
        </w:rPr>
        <w:t>điền</w:t>
      </w:r>
      <w:r w:rsidRPr="00434560">
        <w:rPr>
          <w:sz w:val="28"/>
          <w:szCs w:val="28"/>
          <w:lang w:val="nl-NL"/>
        </w:rPr>
        <w:t xml:space="preserve"> đầy </w:t>
      </w:r>
      <w:r>
        <w:rPr>
          <w:sz w:val="28"/>
          <w:szCs w:val="28"/>
          <w:lang w:val="nl-NL"/>
        </w:rPr>
        <w:t xml:space="preserve">đủ, cụ thể, không được để trống, phải </w:t>
      </w:r>
      <w:r w:rsidRPr="00434560">
        <w:rPr>
          <w:sz w:val="28"/>
          <w:szCs w:val="28"/>
          <w:lang w:val="nl-NL"/>
        </w:rPr>
        <w:t>có chữ ký của người lập biểu và ký xác nhận của Thủ trưởng đơn vị.</w:t>
      </w:r>
    </w:p>
    <w:p w:rsidR="001C1DFA" w:rsidRPr="00434560" w:rsidRDefault="001C1DFA" w:rsidP="001F6C04">
      <w:pPr>
        <w:spacing w:before="120" w:after="120" w:line="320" w:lineRule="exact"/>
        <w:ind w:firstLine="720"/>
        <w:jc w:val="both"/>
        <w:rPr>
          <w:sz w:val="28"/>
          <w:szCs w:val="28"/>
          <w:lang w:val="nl-NL"/>
        </w:rPr>
      </w:pPr>
      <w:r w:rsidRPr="00434560">
        <w:rPr>
          <w:b/>
          <w:sz w:val="28"/>
          <w:szCs w:val="28"/>
          <w:lang w:val="nl-NL"/>
        </w:rPr>
        <w:t xml:space="preserve">5.2. Cách ghi phần số </w:t>
      </w:r>
    </w:p>
    <w:p w:rsidR="001C1DFA" w:rsidRPr="00E15790" w:rsidRDefault="001C1DFA" w:rsidP="001F6C04">
      <w:pPr>
        <w:spacing w:before="120" w:after="120" w:line="320" w:lineRule="exact"/>
        <w:ind w:firstLine="720"/>
        <w:jc w:val="both"/>
        <w:rPr>
          <w:sz w:val="28"/>
          <w:szCs w:val="28"/>
          <w:lang w:val="nl-NL"/>
        </w:rPr>
      </w:pPr>
      <w:r w:rsidRPr="00E15790">
        <w:rPr>
          <w:sz w:val="28"/>
          <w:szCs w:val="28"/>
          <w:lang w:val="nl-NL"/>
        </w:rPr>
        <w:t>Đối với các chỉ tiêu không phát sinh ghi số không “0”. Tuyệt đối không sử dụng các ký tự để đánh dấu.</w:t>
      </w:r>
    </w:p>
    <w:p w:rsidR="001C1DFA" w:rsidRPr="00E15790" w:rsidRDefault="001C1DFA" w:rsidP="00C07578">
      <w:pPr>
        <w:widowControl w:val="0"/>
        <w:spacing w:before="120" w:after="120" w:line="320" w:lineRule="exact"/>
        <w:ind w:firstLine="720"/>
        <w:jc w:val="both"/>
        <w:rPr>
          <w:sz w:val="28"/>
          <w:szCs w:val="28"/>
          <w:lang w:val="vi-VN"/>
        </w:rPr>
      </w:pPr>
      <w:r w:rsidRPr="00E15790">
        <w:rPr>
          <w:sz w:val="28"/>
          <w:szCs w:val="28"/>
          <w:lang w:val="nl-NL"/>
        </w:rPr>
        <w:t xml:space="preserve">Chi cục </w:t>
      </w:r>
      <w:r w:rsidR="009A45B4">
        <w:rPr>
          <w:sz w:val="28"/>
          <w:szCs w:val="28"/>
          <w:lang w:val="nl-NL"/>
        </w:rPr>
        <w:t>T</w:t>
      </w:r>
      <w:r w:rsidRPr="00E15790">
        <w:rPr>
          <w:sz w:val="28"/>
          <w:szCs w:val="28"/>
          <w:lang w:val="nl-NL"/>
        </w:rPr>
        <w:t xml:space="preserve">hi hành án dân sự lập báo cáo của Chi cục, Cục </w:t>
      </w:r>
      <w:r w:rsidR="009A45B4">
        <w:rPr>
          <w:sz w:val="28"/>
          <w:szCs w:val="28"/>
          <w:lang w:val="nl-NL"/>
        </w:rPr>
        <w:t>T</w:t>
      </w:r>
      <w:r w:rsidRPr="00E15790">
        <w:rPr>
          <w:sz w:val="28"/>
          <w:szCs w:val="28"/>
          <w:lang w:val="nl-NL"/>
        </w:rPr>
        <w:t xml:space="preserve">hi hành án dân sự lập báo cáo của Cục </w:t>
      </w:r>
      <w:r w:rsidR="009A45B4">
        <w:rPr>
          <w:sz w:val="28"/>
          <w:szCs w:val="28"/>
          <w:lang w:val="nl-NL"/>
        </w:rPr>
        <w:t>T</w:t>
      </w:r>
      <w:r w:rsidRPr="00E15790">
        <w:rPr>
          <w:sz w:val="28"/>
          <w:szCs w:val="28"/>
          <w:lang w:val="nl-NL"/>
        </w:rPr>
        <w:t xml:space="preserve">hi hành án dân sự và tổng hợp số liệu thống kê của toàn tỉnh từ số liệu thống kê của Cục </w:t>
      </w:r>
      <w:r w:rsidR="009A45B4">
        <w:rPr>
          <w:sz w:val="28"/>
          <w:szCs w:val="28"/>
          <w:lang w:val="nl-NL"/>
        </w:rPr>
        <w:t>T</w:t>
      </w:r>
      <w:r w:rsidRPr="00E15790">
        <w:rPr>
          <w:sz w:val="28"/>
          <w:szCs w:val="28"/>
          <w:lang w:val="nl-NL"/>
        </w:rPr>
        <w:t xml:space="preserve">hi hành án dân sự và các Chi cục trực thuộc. Tổng cục Thi hành án dân sự Bộ Tư pháp tổng hợp số liệu thống kê từ báo cáo của Cục </w:t>
      </w:r>
      <w:r w:rsidR="009A45B4">
        <w:rPr>
          <w:sz w:val="28"/>
          <w:szCs w:val="28"/>
          <w:lang w:val="nl-NL"/>
        </w:rPr>
        <w:t>T</w:t>
      </w:r>
      <w:r w:rsidRPr="00E15790">
        <w:rPr>
          <w:sz w:val="28"/>
          <w:szCs w:val="28"/>
          <w:lang w:val="nl-NL"/>
        </w:rPr>
        <w:t>hi hành án dân sự.</w:t>
      </w:r>
    </w:p>
    <w:p w:rsidR="001268AB" w:rsidRPr="00E15790" w:rsidRDefault="001268AB" w:rsidP="00C07578">
      <w:pPr>
        <w:widowControl w:val="0"/>
        <w:spacing w:before="120" w:after="120" w:line="320" w:lineRule="exact"/>
        <w:ind w:firstLine="720"/>
        <w:jc w:val="both"/>
        <w:rPr>
          <w:sz w:val="28"/>
          <w:szCs w:val="28"/>
        </w:rPr>
      </w:pPr>
      <w:r w:rsidRPr="00E15790">
        <w:rPr>
          <w:sz w:val="28"/>
          <w:szCs w:val="28"/>
        </w:rPr>
        <w:t xml:space="preserve">- </w:t>
      </w:r>
      <w:r w:rsidR="001C1DFA" w:rsidRPr="00E15790">
        <w:rPr>
          <w:sz w:val="28"/>
          <w:szCs w:val="28"/>
          <w:lang w:val="vi-VN"/>
        </w:rPr>
        <w:t>Cột (</w:t>
      </w:r>
      <w:r w:rsidR="001C1DFA" w:rsidRPr="00E15790">
        <w:rPr>
          <w:sz w:val="28"/>
          <w:szCs w:val="28"/>
        </w:rPr>
        <w:t>1</w:t>
      </w:r>
      <w:r w:rsidR="00E15790" w:rsidRPr="00E15790">
        <w:rPr>
          <w:sz w:val="28"/>
          <w:szCs w:val="28"/>
          <w:lang w:val="vi-VN"/>
        </w:rPr>
        <w:t>)</w:t>
      </w:r>
      <w:r w:rsidR="001C1DFA" w:rsidRPr="00E15790">
        <w:rPr>
          <w:sz w:val="28"/>
          <w:szCs w:val="28"/>
          <w:lang w:val="vi-VN"/>
        </w:rPr>
        <w:t xml:space="preserve"> số bản án, quyết định về vụ án hành chính cơ quan </w:t>
      </w:r>
      <w:r w:rsidR="00EB4FF2" w:rsidRPr="00E15790">
        <w:rPr>
          <w:sz w:val="28"/>
          <w:szCs w:val="28"/>
        </w:rPr>
        <w:t>t</w:t>
      </w:r>
      <w:r w:rsidR="001C1DFA" w:rsidRPr="00E15790">
        <w:rPr>
          <w:sz w:val="28"/>
          <w:szCs w:val="28"/>
          <w:lang w:val="vi-VN"/>
        </w:rPr>
        <w:t xml:space="preserve">hi hành án </w:t>
      </w:r>
      <w:r w:rsidR="001C1DFA" w:rsidRPr="00E15790">
        <w:rPr>
          <w:sz w:val="28"/>
          <w:szCs w:val="28"/>
          <w:lang w:val="vi-VN"/>
        </w:rPr>
        <w:lastRenderedPageBreak/>
        <w:t xml:space="preserve">dân sự </w:t>
      </w:r>
      <w:r w:rsidRPr="00E15790">
        <w:rPr>
          <w:sz w:val="28"/>
          <w:szCs w:val="28"/>
        </w:rPr>
        <w:t>nhận chuyển giao từ Tòa án bao gồm:</w:t>
      </w:r>
      <w:bookmarkStart w:id="0" w:name="_GoBack"/>
      <w:bookmarkEnd w:id="0"/>
      <w:r w:rsidRPr="00E15790">
        <w:rPr>
          <w:sz w:val="28"/>
          <w:szCs w:val="28"/>
        </w:rPr>
        <w:t xml:space="preserve"> bản án, quyết định tuyên chấp nhận yêu cầu khởi kiện và bản án, quyết định tuyên bác yêu cầu khởi kiện của công dân.</w:t>
      </w:r>
    </w:p>
    <w:p w:rsidR="001C1DFA" w:rsidRPr="00E15790" w:rsidRDefault="001268AB" w:rsidP="00B7677E">
      <w:pPr>
        <w:widowControl w:val="0"/>
        <w:spacing w:before="120" w:after="120" w:line="320" w:lineRule="exact"/>
        <w:ind w:firstLine="709"/>
        <w:jc w:val="both"/>
        <w:rPr>
          <w:sz w:val="28"/>
          <w:szCs w:val="28"/>
          <w:lang w:val="pt-PT"/>
        </w:rPr>
      </w:pPr>
      <w:r w:rsidRPr="00E15790">
        <w:rPr>
          <w:sz w:val="28"/>
          <w:szCs w:val="28"/>
        </w:rPr>
        <w:tab/>
        <w:t>-</w:t>
      </w:r>
      <w:r w:rsidR="001C1DFA" w:rsidRPr="00E15790">
        <w:rPr>
          <w:sz w:val="28"/>
          <w:szCs w:val="28"/>
          <w:lang w:val="vi-VN"/>
        </w:rPr>
        <w:t xml:space="preserve"> Cột (</w:t>
      </w:r>
      <w:r w:rsidRPr="00E15790">
        <w:rPr>
          <w:sz w:val="28"/>
          <w:szCs w:val="28"/>
        </w:rPr>
        <w:t>2</w:t>
      </w:r>
      <w:r w:rsidR="001C1DFA" w:rsidRPr="00E15790">
        <w:rPr>
          <w:sz w:val="28"/>
          <w:szCs w:val="28"/>
          <w:lang w:val="vi-VN"/>
        </w:rPr>
        <w:t xml:space="preserve">) </w:t>
      </w:r>
      <w:r w:rsidRPr="00E15790">
        <w:rPr>
          <w:sz w:val="28"/>
          <w:szCs w:val="28"/>
        </w:rPr>
        <w:t>tổng số bản án, quyết định của Tòa án về vụ án hành chính phải theo dõi, gồm:</w:t>
      </w:r>
      <w:r w:rsidR="00DE4CD1" w:rsidRPr="00E15790">
        <w:rPr>
          <w:sz w:val="28"/>
          <w:szCs w:val="28"/>
          <w:lang w:val="pt-PT"/>
        </w:rPr>
        <w:t xml:space="preserve"> </w:t>
      </w:r>
      <w:r w:rsidR="00B7677E" w:rsidRPr="00E15790">
        <w:rPr>
          <w:sz w:val="28"/>
          <w:szCs w:val="28"/>
          <w:lang w:val="pt-PT"/>
        </w:rPr>
        <w:t xml:space="preserve">(1) số bản án, quyết định của Tòa án về vụ án hành chính </w:t>
      </w:r>
      <w:r w:rsidR="00B7677E" w:rsidRPr="00E15790">
        <w:rPr>
          <w:sz w:val="28"/>
          <w:szCs w:val="28"/>
          <w:lang w:val="vi-VN"/>
        </w:rPr>
        <w:t>có nội dung tuyên chấp nhận yêu cầu khởi kiện</w:t>
      </w:r>
      <w:r w:rsidR="00B7677E" w:rsidRPr="00E15790">
        <w:rPr>
          <w:sz w:val="28"/>
          <w:szCs w:val="28"/>
          <w:lang w:val="pt-PT"/>
        </w:rPr>
        <w:t xml:space="preserve">; (2) quyết định áp dụng biện pháp khẩn cấp tạm thời; (3) quyết định buộc sửa đổi, bổ sung danh sách cử tri; (4) quyết định của Tòa án đã tuyên hủy quyết định kỷ luật buộc thôi việc và (5) </w:t>
      </w:r>
      <w:r w:rsidR="00263322" w:rsidRPr="00E15790">
        <w:rPr>
          <w:sz w:val="28"/>
          <w:szCs w:val="28"/>
          <w:lang w:val="pt-PT"/>
        </w:rPr>
        <w:t xml:space="preserve">số </w:t>
      </w:r>
      <w:r w:rsidR="00B7677E" w:rsidRPr="00E15790">
        <w:rPr>
          <w:sz w:val="28"/>
          <w:szCs w:val="28"/>
        </w:rPr>
        <w:t xml:space="preserve">bản án, quyết định khác của Tòa án về vụ án hành chính là: </w:t>
      </w:r>
      <w:r w:rsidR="00B7677E" w:rsidRPr="00E15790">
        <w:rPr>
          <w:sz w:val="28"/>
          <w:szCs w:val="28"/>
          <w:lang w:val="en-AU"/>
        </w:rPr>
        <w:t>bản án tuyên bác yêu cầu khởi kiện nhưng Tòa án đã ban hành quyết định buộc thi hành án; quyết định áp dụng biện pháp khẩn cấp tạm thời mà người phải thi hành án là cá nhân, tổ chức không phải là cơ quan hành chính nhà nước.</w:t>
      </w:r>
      <w:r w:rsidR="00B7677E" w:rsidRPr="00E15790">
        <w:rPr>
          <w:sz w:val="28"/>
          <w:szCs w:val="28"/>
          <w:lang w:val="pt-PT"/>
        </w:rPr>
        <w:t xml:space="preserve"> </w:t>
      </w:r>
      <w:r w:rsidR="001C1DFA" w:rsidRPr="00E15790">
        <w:rPr>
          <w:sz w:val="28"/>
          <w:szCs w:val="28"/>
          <w:lang w:val="vi-VN"/>
        </w:rPr>
        <w:t>Cột (</w:t>
      </w:r>
      <w:r w:rsidR="001C1DFA" w:rsidRPr="00E15790">
        <w:rPr>
          <w:sz w:val="28"/>
          <w:szCs w:val="28"/>
        </w:rPr>
        <w:t>2</w:t>
      </w:r>
      <w:r w:rsidR="001C1DFA" w:rsidRPr="00E15790">
        <w:rPr>
          <w:sz w:val="28"/>
          <w:szCs w:val="28"/>
          <w:lang w:val="vi-VN"/>
        </w:rPr>
        <w:t xml:space="preserve">) </w:t>
      </w:r>
      <w:r w:rsidRPr="00E15790">
        <w:rPr>
          <w:sz w:val="28"/>
          <w:szCs w:val="28"/>
        </w:rPr>
        <w:t>= Cột (3)</w:t>
      </w:r>
      <w:r w:rsidR="00E15790">
        <w:rPr>
          <w:sz w:val="28"/>
          <w:szCs w:val="28"/>
        </w:rPr>
        <w:t xml:space="preserve"> </w:t>
      </w:r>
      <w:r w:rsidR="001C1DFA" w:rsidRPr="00E15790">
        <w:rPr>
          <w:sz w:val="28"/>
          <w:szCs w:val="28"/>
          <w:lang w:val="vi-VN"/>
        </w:rPr>
        <w:t>+ Cột (</w:t>
      </w:r>
      <w:r w:rsidRPr="00E15790">
        <w:rPr>
          <w:sz w:val="28"/>
          <w:szCs w:val="28"/>
        </w:rPr>
        <w:t>6</w:t>
      </w:r>
      <w:r w:rsidR="001C1DFA" w:rsidRPr="00E15790">
        <w:rPr>
          <w:sz w:val="28"/>
          <w:szCs w:val="28"/>
          <w:lang w:val="vi-VN"/>
        </w:rPr>
        <w:t>)</w:t>
      </w:r>
      <w:r w:rsidRPr="00E15790">
        <w:rPr>
          <w:sz w:val="28"/>
          <w:szCs w:val="28"/>
        </w:rPr>
        <w:t xml:space="preserve"> + Cột (9)</w:t>
      </w:r>
      <w:r w:rsidR="001C1DFA" w:rsidRPr="00E15790">
        <w:rPr>
          <w:sz w:val="28"/>
          <w:szCs w:val="28"/>
          <w:lang w:val="vi-VN"/>
        </w:rPr>
        <w:t xml:space="preserve">. Trong đó: </w:t>
      </w:r>
    </w:p>
    <w:p w:rsidR="001C1DFA" w:rsidRPr="00E15790" w:rsidRDefault="001C1DFA" w:rsidP="001F6C04">
      <w:pPr>
        <w:spacing w:before="120" w:after="120" w:line="320" w:lineRule="exact"/>
        <w:jc w:val="both"/>
        <w:rPr>
          <w:sz w:val="28"/>
          <w:szCs w:val="28"/>
        </w:rPr>
      </w:pPr>
      <w:r w:rsidRPr="00E15790">
        <w:rPr>
          <w:lang w:val="vi-VN"/>
        </w:rPr>
        <w:tab/>
      </w:r>
      <w:r w:rsidRPr="00E15790">
        <w:rPr>
          <w:sz w:val="28"/>
          <w:szCs w:val="28"/>
          <w:lang w:val="vi-VN"/>
        </w:rPr>
        <w:t>+ Cột (</w:t>
      </w:r>
      <w:r w:rsidR="001268AB" w:rsidRPr="00E15790">
        <w:rPr>
          <w:sz w:val="28"/>
          <w:szCs w:val="28"/>
        </w:rPr>
        <w:t>3</w:t>
      </w:r>
      <w:r w:rsidR="00E15790" w:rsidRPr="00E15790">
        <w:rPr>
          <w:sz w:val="28"/>
          <w:szCs w:val="28"/>
          <w:lang w:val="vi-VN"/>
        </w:rPr>
        <w:t>)</w:t>
      </w:r>
      <w:r w:rsidRPr="00E15790">
        <w:rPr>
          <w:sz w:val="28"/>
          <w:szCs w:val="28"/>
          <w:lang w:val="vi-VN"/>
        </w:rPr>
        <w:t xml:space="preserve"> </w:t>
      </w:r>
      <w:r w:rsidR="001268AB" w:rsidRPr="00E15790">
        <w:rPr>
          <w:sz w:val="28"/>
          <w:szCs w:val="28"/>
        </w:rPr>
        <w:t>s</w:t>
      </w:r>
      <w:r w:rsidRPr="00E15790">
        <w:rPr>
          <w:sz w:val="28"/>
          <w:szCs w:val="28"/>
          <w:lang w:val="vi-VN"/>
        </w:rPr>
        <w:t xml:space="preserve">ố bản án, quyết định về vụ án hành chính </w:t>
      </w:r>
      <w:r w:rsidRPr="00E15790">
        <w:rPr>
          <w:sz w:val="28"/>
          <w:szCs w:val="28"/>
        </w:rPr>
        <w:t xml:space="preserve">đã </w:t>
      </w:r>
      <w:r w:rsidRPr="00E15790">
        <w:rPr>
          <w:sz w:val="28"/>
          <w:szCs w:val="28"/>
          <w:lang w:val="vi-VN"/>
        </w:rPr>
        <w:t xml:space="preserve">có </w:t>
      </w:r>
      <w:r w:rsidRPr="00E15790">
        <w:rPr>
          <w:sz w:val="28"/>
          <w:szCs w:val="28"/>
        </w:rPr>
        <w:t xml:space="preserve">quyết định buộc </w:t>
      </w:r>
      <w:r w:rsidRPr="00E15790">
        <w:rPr>
          <w:sz w:val="28"/>
          <w:szCs w:val="28"/>
          <w:lang w:val="vi-VN"/>
        </w:rPr>
        <w:t>thi hành án hành chính</w:t>
      </w:r>
      <w:r w:rsidRPr="00E15790">
        <w:rPr>
          <w:sz w:val="28"/>
          <w:szCs w:val="28"/>
        </w:rPr>
        <w:t xml:space="preserve"> </w:t>
      </w:r>
      <w:r w:rsidRPr="00E15790">
        <w:rPr>
          <w:sz w:val="28"/>
          <w:szCs w:val="28"/>
          <w:lang w:val="vi-VN"/>
        </w:rPr>
        <w:t>của Tòa án</w:t>
      </w:r>
      <w:r w:rsidRPr="00E15790">
        <w:rPr>
          <w:sz w:val="28"/>
          <w:szCs w:val="28"/>
        </w:rPr>
        <w:t>.</w:t>
      </w:r>
    </w:p>
    <w:p w:rsidR="001C1DFA" w:rsidRPr="00E15790" w:rsidRDefault="001C1DFA" w:rsidP="001F6C04">
      <w:pPr>
        <w:spacing w:before="120" w:after="120" w:line="320" w:lineRule="exact"/>
        <w:jc w:val="both"/>
        <w:rPr>
          <w:sz w:val="28"/>
          <w:szCs w:val="28"/>
        </w:rPr>
      </w:pPr>
      <w:r w:rsidRPr="00E15790">
        <w:rPr>
          <w:sz w:val="28"/>
          <w:szCs w:val="28"/>
          <w:lang w:val="vi-VN"/>
        </w:rPr>
        <w:tab/>
        <w:t>+ Cột (</w:t>
      </w:r>
      <w:r w:rsidR="001F6C04" w:rsidRPr="00E15790">
        <w:rPr>
          <w:sz w:val="28"/>
          <w:szCs w:val="28"/>
        </w:rPr>
        <w:t>6</w:t>
      </w:r>
      <w:r w:rsidR="00E15790" w:rsidRPr="00E15790">
        <w:rPr>
          <w:sz w:val="28"/>
          <w:szCs w:val="28"/>
          <w:lang w:val="vi-VN"/>
        </w:rPr>
        <w:t>)</w:t>
      </w:r>
      <w:r w:rsidRPr="00E15790">
        <w:rPr>
          <w:sz w:val="28"/>
          <w:szCs w:val="28"/>
          <w:lang w:val="vi-VN"/>
        </w:rPr>
        <w:t xml:space="preserve"> </w:t>
      </w:r>
      <w:r w:rsidR="00E15790" w:rsidRPr="00E15790">
        <w:rPr>
          <w:sz w:val="28"/>
          <w:szCs w:val="28"/>
        </w:rPr>
        <w:t>s</w:t>
      </w:r>
      <w:r w:rsidRPr="00E15790">
        <w:rPr>
          <w:sz w:val="28"/>
          <w:szCs w:val="28"/>
          <w:lang w:val="vi-VN"/>
        </w:rPr>
        <w:t xml:space="preserve">ố bản án, quyết định về vụ án hành chính </w:t>
      </w:r>
      <w:r w:rsidRPr="00E15790">
        <w:rPr>
          <w:sz w:val="28"/>
          <w:szCs w:val="28"/>
        </w:rPr>
        <w:t>chưa</w:t>
      </w:r>
      <w:r w:rsidR="003811AF" w:rsidRPr="00E15790">
        <w:rPr>
          <w:sz w:val="28"/>
          <w:szCs w:val="28"/>
          <w:lang w:val="vi-VN"/>
        </w:rPr>
        <w:t xml:space="preserve"> có quyết định buộc thi hành án</w:t>
      </w:r>
      <w:r w:rsidR="003811AF" w:rsidRPr="00E15790">
        <w:rPr>
          <w:sz w:val="28"/>
          <w:szCs w:val="28"/>
        </w:rPr>
        <w:t>.</w:t>
      </w:r>
    </w:p>
    <w:p w:rsidR="001F6C04" w:rsidRPr="00E15790" w:rsidRDefault="001C1DFA" w:rsidP="001F6C04">
      <w:pPr>
        <w:spacing w:before="120" w:after="120" w:line="320" w:lineRule="exact"/>
        <w:jc w:val="both"/>
        <w:rPr>
          <w:sz w:val="28"/>
          <w:szCs w:val="28"/>
        </w:rPr>
      </w:pPr>
      <w:r w:rsidRPr="00E15790">
        <w:rPr>
          <w:sz w:val="28"/>
          <w:szCs w:val="28"/>
          <w:lang w:val="vi-VN"/>
        </w:rPr>
        <w:tab/>
      </w:r>
      <w:r w:rsidR="001F6C04" w:rsidRPr="00E15790">
        <w:rPr>
          <w:sz w:val="28"/>
          <w:szCs w:val="28"/>
        </w:rPr>
        <w:t xml:space="preserve">+ </w:t>
      </w:r>
      <w:r w:rsidRPr="00E15790">
        <w:rPr>
          <w:sz w:val="28"/>
          <w:szCs w:val="28"/>
          <w:lang w:val="vi-VN"/>
        </w:rPr>
        <w:t>Cột (</w:t>
      </w:r>
      <w:r w:rsidR="001F6C04" w:rsidRPr="00E15790">
        <w:rPr>
          <w:sz w:val="28"/>
          <w:szCs w:val="28"/>
        </w:rPr>
        <w:t>9</w:t>
      </w:r>
      <w:r w:rsidRPr="00E15790">
        <w:rPr>
          <w:sz w:val="28"/>
          <w:szCs w:val="28"/>
          <w:lang w:val="vi-VN"/>
        </w:rPr>
        <w:t>)</w:t>
      </w:r>
      <w:r w:rsidRPr="00E15790">
        <w:rPr>
          <w:sz w:val="28"/>
          <w:szCs w:val="28"/>
        </w:rPr>
        <w:t xml:space="preserve"> </w:t>
      </w:r>
      <w:r w:rsidR="001F6C04" w:rsidRPr="00E15790">
        <w:rPr>
          <w:sz w:val="28"/>
          <w:szCs w:val="28"/>
        </w:rPr>
        <w:t>b</w:t>
      </w:r>
      <w:r w:rsidR="001F6C04" w:rsidRPr="00E15790">
        <w:rPr>
          <w:sz w:val="28"/>
          <w:szCs w:val="28"/>
          <w:lang w:val="en-AU"/>
        </w:rPr>
        <w:t>ản án, quyết định tuyên bác yêu cầu khởi kiện nhưng Tòa án đã ban hành quyết định buộc thi hành án; quyết định áp dụng biện pháp khẩn cấp tạm thời mà người phải thi hành án là cá nhân, tổ chức không phải là cơ quan hành chính nhà nước.</w:t>
      </w:r>
    </w:p>
    <w:p w:rsidR="00DE4CD1" w:rsidRPr="00E15790" w:rsidRDefault="001F6C04" w:rsidP="001F6C04">
      <w:pPr>
        <w:spacing w:before="120" w:after="120" w:line="320" w:lineRule="exact"/>
        <w:jc w:val="both"/>
        <w:rPr>
          <w:sz w:val="28"/>
          <w:szCs w:val="28"/>
        </w:rPr>
      </w:pPr>
      <w:r w:rsidRPr="00E15790">
        <w:rPr>
          <w:sz w:val="28"/>
          <w:szCs w:val="28"/>
        </w:rPr>
        <w:tab/>
        <w:t xml:space="preserve">- Cột (10) </w:t>
      </w:r>
      <w:r w:rsidR="00E15790" w:rsidRPr="00E15790">
        <w:rPr>
          <w:sz w:val="28"/>
          <w:szCs w:val="28"/>
        </w:rPr>
        <w:t>s</w:t>
      </w:r>
      <w:r w:rsidR="001C1DFA" w:rsidRPr="00E15790">
        <w:rPr>
          <w:sz w:val="28"/>
          <w:szCs w:val="28"/>
        </w:rPr>
        <w:t xml:space="preserve">ố vụ việc cơ quan </w:t>
      </w:r>
      <w:r w:rsidR="00E15790" w:rsidRPr="00E15790">
        <w:rPr>
          <w:sz w:val="28"/>
          <w:szCs w:val="28"/>
        </w:rPr>
        <w:t>thi hành án dân sự</w:t>
      </w:r>
      <w:r w:rsidR="001C1DFA" w:rsidRPr="00E15790">
        <w:rPr>
          <w:sz w:val="28"/>
          <w:szCs w:val="28"/>
        </w:rPr>
        <w:t xml:space="preserve"> đã ban hành văn bản</w:t>
      </w:r>
      <w:r w:rsidR="001C1DFA" w:rsidRPr="00E15790">
        <w:rPr>
          <w:sz w:val="28"/>
          <w:szCs w:val="28"/>
          <w:lang w:val="vi-VN"/>
        </w:rPr>
        <w:t xml:space="preserve"> </w:t>
      </w:r>
      <w:r w:rsidR="001C1DFA" w:rsidRPr="00E15790">
        <w:rPr>
          <w:sz w:val="28"/>
          <w:szCs w:val="28"/>
        </w:rPr>
        <w:t>thông báo tự nguyện thi hành án</w:t>
      </w:r>
      <w:r w:rsidR="00DE4CD1" w:rsidRPr="00E15790">
        <w:rPr>
          <w:sz w:val="28"/>
          <w:szCs w:val="28"/>
        </w:rPr>
        <w:t>.</w:t>
      </w:r>
    </w:p>
    <w:p w:rsidR="001C1DFA" w:rsidRPr="00E15790" w:rsidRDefault="001C1DFA" w:rsidP="001F6C04">
      <w:pPr>
        <w:spacing w:before="120" w:after="120" w:line="320" w:lineRule="exact"/>
        <w:jc w:val="both"/>
        <w:rPr>
          <w:sz w:val="28"/>
          <w:szCs w:val="28"/>
          <w:lang w:val="vi-VN"/>
        </w:rPr>
      </w:pPr>
      <w:r w:rsidRPr="00E15790">
        <w:rPr>
          <w:sz w:val="28"/>
          <w:szCs w:val="28"/>
          <w:lang w:val="vi-VN"/>
        </w:rPr>
        <w:tab/>
        <w:t>Cột (</w:t>
      </w:r>
      <w:r w:rsidR="001F6C04" w:rsidRPr="00E15790">
        <w:rPr>
          <w:sz w:val="28"/>
          <w:szCs w:val="28"/>
        </w:rPr>
        <w:t>11</w:t>
      </w:r>
      <w:r w:rsidR="00E15790" w:rsidRPr="00E15790">
        <w:rPr>
          <w:sz w:val="28"/>
          <w:szCs w:val="28"/>
          <w:lang w:val="vi-VN"/>
        </w:rPr>
        <w:t>)</w:t>
      </w:r>
      <w:r w:rsidRPr="00E15790">
        <w:rPr>
          <w:sz w:val="28"/>
          <w:szCs w:val="28"/>
        </w:rPr>
        <w:t xml:space="preserve"> </w:t>
      </w:r>
      <w:r w:rsidR="00E15790" w:rsidRPr="00E15790">
        <w:rPr>
          <w:sz w:val="28"/>
          <w:szCs w:val="28"/>
        </w:rPr>
        <w:t>s</w:t>
      </w:r>
      <w:r w:rsidRPr="00E15790">
        <w:rPr>
          <w:sz w:val="28"/>
          <w:szCs w:val="28"/>
        </w:rPr>
        <w:t xml:space="preserve">ố vụ việc cơ quan </w:t>
      </w:r>
      <w:r w:rsidR="00E15790" w:rsidRPr="00E15790">
        <w:rPr>
          <w:sz w:val="28"/>
          <w:szCs w:val="28"/>
        </w:rPr>
        <w:t>thi hành án dân sự</w:t>
      </w:r>
      <w:r w:rsidRPr="00E15790">
        <w:rPr>
          <w:sz w:val="28"/>
          <w:szCs w:val="28"/>
        </w:rPr>
        <w:t xml:space="preserve"> đã làm việc với người phải thi hành án</w:t>
      </w:r>
      <w:r w:rsidR="00DE4CD1" w:rsidRPr="00E15790">
        <w:rPr>
          <w:sz w:val="28"/>
          <w:szCs w:val="28"/>
        </w:rPr>
        <w:t>.</w:t>
      </w:r>
    </w:p>
    <w:p w:rsidR="001C1DFA" w:rsidRPr="00E15790" w:rsidRDefault="001C1DFA" w:rsidP="001F6C04">
      <w:pPr>
        <w:spacing w:before="120" w:after="120" w:line="320" w:lineRule="exact"/>
        <w:jc w:val="both"/>
        <w:rPr>
          <w:sz w:val="28"/>
          <w:szCs w:val="28"/>
          <w:lang w:val="vi-VN"/>
        </w:rPr>
      </w:pPr>
      <w:r w:rsidRPr="00E15790">
        <w:rPr>
          <w:sz w:val="28"/>
          <w:szCs w:val="28"/>
          <w:lang w:val="vi-VN"/>
        </w:rPr>
        <w:tab/>
        <w:t>Cột (</w:t>
      </w:r>
      <w:r w:rsidR="001F6C04" w:rsidRPr="00E15790">
        <w:rPr>
          <w:sz w:val="28"/>
          <w:szCs w:val="28"/>
        </w:rPr>
        <w:t>12</w:t>
      </w:r>
      <w:r w:rsidR="00E15790" w:rsidRPr="00E15790">
        <w:rPr>
          <w:sz w:val="28"/>
          <w:szCs w:val="28"/>
          <w:lang w:val="vi-VN"/>
        </w:rPr>
        <w:t>)</w:t>
      </w:r>
      <w:r w:rsidRPr="00E15790">
        <w:rPr>
          <w:sz w:val="28"/>
          <w:szCs w:val="28"/>
          <w:lang w:val="vi-VN"/>
        </w:rPr>
        <w:t xml:space="preserve"> s</w:t>
      </w:r>
      <w:r w:rsidRPr="00E15790">
        <w:rPr>
          <w:sz w:val="28"/>
          <w:szCs w:val="28"/>
        </w:rPr>
        <w:t xml:space="preserve">ố quyết định buộc thi hành án hành chính </w:t>
      </w:r>
      <w:r w:rsidR="001F6C04" w:rsidRPr="00E15790">
        <w:rPr>
          <w:sz w:val="28"/>
          <w:szCs w:val="28"/>
        </w:rPr>
        <w:t>đã</w:t>
      </w:r>
      <w:r w:rsidRPr="00E15790">
        <w:rPr>
          <w:sz w:val="28"/>
          <w:szCs w:val="28"/>
          <w:lang w:val="vi-VN"/>
        </w:rPr>
        <w:t xml:space="preserve"> đăng tải công khai.</w:t>
      </w:r>
      <w:r w:rsidRPr="00E15790">
        <w:rPr>
          <w:sz w:val="28"/>
          <w:szCs w:val="28"/>
        </w:rPr>
        <w:t xml:space="preserve"> </w:t>
      </w:r>
    </w:p>
    <w:p w:rsidR="001C1DFA" w:rsidRPr="00E15790" w:rsidRDefault="001C1DFA" w:rsidP="001F6C04">
      <w:pPr>
        <w:spacing w:before="120" w:after="120" w:line="320" w:lineRule="exact"/>
        <w:jc w:val="both"/>
        <w:rPr>
          <w:spacing w:val="-4"/>
          <w:sz w:val="28"/>
          <w:szCs w:val="28"/>
          <w:lang w:val="vi-VN"/>
        </w:rPr>
      </w:pPr>
      <w:r w:rsidRPr="00E15790">
        <w:rPr>
          <w:sz w:val="28"/>
          <w:szCs w:val="28"/>
          <w:lang w:val="vi-VN"/>
        </w:rPr>
        <w:tab/>
      </w:r>
      <w:r w:rsidRPr="00E15790">
        <w:rPr>
          <w:spacing w:val="-4"/>
          <w:sz w:val="28"/>
          <w:szCs w:val="28"/>
          <w:lang w:val="vi-VN"/>
        </w:rPr>
        <w:t>Cột (1</w:t>
      </w:r>
      <w:r w:rsidR="001F6C04" w:rsidRPr="00E15790">
        <w:rPr>
          <w:spacing w:val="-4"/>
          <w:sz w:val="28"/>
          <w:szCs w:val="28"/>
        </w:rPr>
        <w:t>3</w:t>
      </w:r>
      <w:r w:rsidR="00E15790" w:rsidRPr="00E15790">
        <w:rPr>
          <w:spacing w:val="-4"/>
          <w:sz w:val="28"/>
          <w:szCs w:val="28"/>
          <w:lang w:val="vi-VN"/>
        </w:rPr>
        <w:t>)</w:t>
      </w:r>
      <w:r w:rsidRPr="00E15790">
        <w:rPr>
          <w:spacing w:val="-4"/>
          <w:sz w:val="28"/>
          <w:szCs w:val="28"/>
          <w:lang w:val="vi-VN"/>
        </w:rPr>
        <w:t xml:space="preserve"> </w:t>
      </w:r>
      <w:r w:rsidR="00E15790" w:rsidRPr="00E15790">
        <w:rPr>
          <w:spacing w:val="-4"/>
          <w:sz w:val="28"/>
          <w:szCs w:val="28"/>
        </w:rPr>
        <w:t>s</w:t>
      </w:r>
      <w:r w:rsidRPr="00E15790">
        <w:rPr>
          <w:spacing w:val="-4"/>
          <w:sz w:val="28"/>
          <w:szCs w:val="28"/>
        </w:rPr>
        <w:t xml:space="preserve">ố vụ việc cơ quan </w:t>
      </w:r>
      <w:r w:rsidR="00E15790" w:rsidRPr="00E15790">
        <w:rPr>
          <w:spacing w:val="-4"/>
          <w:sz w:val="28"/>
          <w:szCs w:val="28"/>
        </w:rPr>
        <w:t>thi hành án dân sự</w:t>
      </w:r>
      <w:r w:rsidRPr="00E15790">
        <w:rPr>
          <w:spacing w:val="-4"/>
          <w:sz w:val="28"/>
          <w:szCs w:val="28"/>
        </w:rPr>
        <w:t xml:space="preserve"> đã có văn bản kiến nghị xử lý trách nhiệm người không chấp hành án. Cột (1</w:t>
      </w:r>
      <w:r w:rsidR="001F6C04" w:rsidRPr="00E15790">
        <w:rPr>
          <w:spacing w:val="-4"/>
          <w:sz w:val="28"/>
          <w:szCs w:val="28"/>
        </w:rPr>
        <w:t>3</w:t>
      </w:r>
      <w:r w:rsidRPr="00E15790">
        <w:rPr>
          <w:spacing w:val="-4"/>
          <w:sz w:val="28"/>
          <w:szCs w:val="28"/>
        </w:rPr>
        <w:t>) = Cột (1</w:t>
      </w:r>
      <w:r w:rsidR="001F6C04" w:rsidRPr="00E15790">
        <w:rPr>
          <w:spacing w:val="-4"/>
          <w:sz w:val="28"/>
          <w:szCs w:val="28"/>
        </w:rPr>
        <w:t>4</w:t>
      </w:r>
      <w:r w:rsidRPr="00E15790">
        <w:rPr>
          <w:spacing w:val="-4"/>
          <w:sz w:val="28"/>
          <w:szCs w:val="28"/>
        </w:rPr>
        <w:t>) + Cột (1</w:t>
      </w:r>
      <w:r w:rsidR="001F6C04" w:rsidRPr="00E15790">
        <w:rPr>
          <w:spacing w:val="-4"/>
          <w:sz w:val="28"/>
          <w:szCs w:val="28"/>
        </w:rPr>
        <w:t>5</w:t>
      </w:r>
      <w:r w:rsidRPr="00E15790">
        <w:rPr>
          <w:spacing w:val="-4"/>
          <w:sz w:val="28"/>
          <w:szCs w:val="28"/>
        </w:rPr>
        <w:t>)</w:t>
      </w:r>
      <w:r w:rsidRPr="00E15790">
        <w:rPr>
          <w:spacing w:val="-4"/>
          <w:sz w:val="28"/>
          <w:szCs w:val="28"/>
          <w:lang w:val="vi-VN"/>
        </w:rPr>
        <w:t xml:space="preserve"> + Cột (1</w:t>
      </w:r>
      <w:r w:rsidR="001F6C04" w:rsidRPr="00E15790">
        <w:rPr>
          <w:spacing w:val="-4"/>
          <w:sz w:val="28"/>
          <w:szCs w:val="28"/>
        </w:rPr>
        <w:t>6</w:t>
      </w:r>
      <w:r w:rsidRPr="00E15790">
        <w:rPr>
          <w:spacing w:val="-4"/>
          <w:sz w:val="28"/>
          <w:szCs w:val="28"/>
          <w:lang w:val="vi-VN"/>
        </w:rPr>
        <w:t>).</w:t>
      </w:r>
    </w:p>
    <w:p w:rsidR="0001681D" w:rsidRPr="001C1DFA" w:rsidRDefault="0001681D" w:rsidP="001C1DFA"/>
    <w:sectPr w:rsidR="0001681D" w:rsidRPr="001C1DFA" w:rsidSect="00F722B2">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66" w:rsidRDefault="00BC3D66" w:rsidP="00F722B2">
      <w:r>
        <w:separator/>
      </w:r>
    </w:p>
  </w:endnote>
  <w:endnote w:type="continuationSeparator" w:id="0">
    <w:p w:rsidR="00BC3D66" w:rsidRDefault="00BC3D66" w:rsidP="00F7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66" w:rsidRDefault="00BC3D66" w:rsidP="00F722B2">
      <w:r>
        <w:separator/>
      </w:r>
    </w:p>
  </w:footnote>
  <w:footnote w:type="continuationSeparator" w:id="0">
    <w:p w:rsidR="00BC3D66" w:rsidRDefault="00BC3D66" w:rsidP="00F72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774293"/>
      <w:docPartObj>
        <w:docPartGallery w:val="Page Numbers (Top of Page)"/>
        <w:docPartUnique/>
      </w:docPartObj>
    </w:sdtPr>
    <w:sdtEndPr>
      <w:rPr>
        <w:noProof/>
      </w:rPr>
    </w:sdtEndPr>
    <w:sdtContent>
      <w:p w:rsidR="00F722B2" w:rsidRDefault="00F722B2">
        <w:pPr>
          <w:pStyle w:val="Header"/>
          <w:jc w:val="center"/>
        </w:pPr>
        <w:r>
          <w:fldChar w:fldCharType="begin"/>
        </w:r>
        <w:r>
          <w:instrText xml:space="preserve"> PAGE   \* MERGEFORMAT </w:instrText>
        </w:r>
        <w:r>
          <w:fldChar w:fldCharType="separate"/>
        </w:r>
        <w:r w:rsidR="00C07578">
          <w:rPr>
            <w:noProof/>
          </w:rPr>
          <w:t>2</w:t>
        </w:r>
        <w:r>
          <w:rPr>
            <w:noProof/>
          </w:rPr>
          <w:fldChar w:fldCharType="end"/>
        </w:r>
      </w:p>
    </w:sdtContent>
  </w:sdt>
  <w:p w:rsidR="00F722B2" w:rsidRDefault="00F722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D5D2D"/>
    <w:multiLevelType w:val="hybridMultilevel"/>
    <w:tmpl w:val="AC641476"/>
    <w:lvl w:ilvl="0" w:tplc="2F9E240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DF17F7"/>
    <w:multiLevelType w:val="hybridMultilevel"/>
    <w:tmpl w:val="22C6867E"/>
    <w:lvl w:ilvl="0" w:tplc="CDBAE8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A"/>
    <w:rsid w:val="0001681D"/>
    <w:rsid w:val="00077B84"/>
    <w:rsid w:val="001268AB"/>
    <w:rsid w:val="001A770B"/>
    <w:rsid w:val="001C1DFA"/>
    <w:rsid w:val="001E3876"/>
    <w:rsid w:val="001F6C04"/>
    <w:rsid w:val="00262BB2"/>
    <w:rsid w:val="00263322"/>
    <w:rsid w:val="00277848"/>
    <w:rsid w:val="00335B21"/>
    <w:rsid w:val="00352C39"/>
    <w:rsid w:val="003811AF"/>
    <w:rsid w:val="00393B5A"/>
    <w:rsid w:val="003B1112"/>
    <w:rsid w:val="003C3F9C"/>
    <w:rsid w:val="00607887"/>
    <w:rsid w:val="00650D0E"/>
    <w:rsid w:val="006867CA"/>
    <w:rsid w:val="00691818"/>
    <w:rsid w:val="006A7D4E"/>
    <w:rsid w:val="00715760"/>
    <w:rsid w:val="0073290B"/>
    <w:rsid w:val="007A77C1"/>
    <w:rsid w:val="00830B09"/>
    <w:rsid w:val="00836142"/>
    <w:rsid w:val="00855FA2"/>
    <w:rsid w:val="00877200"/>
    <w:rsid w:val="009A45B4"/>
    <w:rsid w:val="009A7E57"/>
    <w:rsid w:val="009B6F97"/>
    <w:rsid w:val="00A501C7"/>
    <w:rsid w:val="00B474F9"/>
    <w:rsid w:val="00B57D18"/>
    <w:rsid w:val="00B76632"/>
    <w:rsid w:val="00B7677E"/>
    <w:rsid w:val="00BC3D66"/>
    <w:rsid w:val="00BF0AD3"/>
    <w:rsid w:val="00C07578"/>
    <w:rsid w:val="00C2008D"/>
    <w:rsid w:val="00C5666B"/>
    <w:rsid w:val="00D741B5"/>
    <w:rsid w:val="00DA2D8F"/>
    <w:rsid w:val="00DD6F22"/>
    <w:rsid w:val="00DE4CD1"/>
    <w:rsid w:val="00E05BEF"/>
    <w:rsid w:val="00E101BF"/>
    <w:rsid w:val="00E15790"/>
    <w:rsid w:val="00E22290"/>
    <w:rsid w:val="00E43480"/>
    <w:rsid w:val="00E626BD"/>
    <w:rsid w:val="00EA66D4"/>
    <w:rsid w:val="00EB141F"/>
    <w:rsid w:val="00EB4FF2"/>
    <w:rsid w:val="00F029C8"/>
    <w:rsid w:val="00F722B2"/>
    <w:rsid w:val="00F9005C"/>
    <w:rsid w:val="00FA2DF4"/>
    <w:rsid w:val="00FF1158"/>
    <w:rsid w:val="00FF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0982D-BF9A-4249-91E5-E453AD89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C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C7"/>
    <w:pPr>
      <w:ind w:left="720"/>
      <w:contextualSpacing/>
    </w:pPr>
  </w:style>
  <w:style w:type="paragraph" w:styleId="BalloonText">
    <w:name w:val="Balloon Text"/>
    <w:basedOn w:val="Normal"/>
    <w:link w:val="BalloonTextChar"/>
    <w:uiPriority w:val="99"/>
    <w:semiHidden/>
    <w:unhideWhenUsed/>
    <w:rsid w:val="00E10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BF"/>
    <w:rPr>
      <w:rFonts w:ascii="Segoe UI" w:eastAsia="Times New Roman" w:hAnsi="Segoe UI" w:cs="Segoe UI"/>
      <w:sz w:val="18"/>
      <w:szCs w:val="18"/>
    </w:rPr>
  </w:style>
  <w:style w:type="paragraph" w:styleId="Header">
    <w:name w:val="header"/>
    <w:basedOn w:val="Normal"/>
    <w:link w:val="HeaderChar"/>
    <w:uiPriority w:val="99"/>
    <w:unhideWhenUsed/>
    <w:rsid w:val="00F722B2"/>
    <w:pPr>
      <w:tabs>
        <w:tab w:val="center" w:pos="4680"/>
        <w:tab w:val="right" w:pos="9360"/>
      </w:tabs>
    </w:pPr>
  </w:style>
  <w:style w:type="character" w:customStyle="1" w:styleId="HeaderChar">
    <w:name w:val="Header Char"/>
    <w:basedOn w:val="DefaultParagraphFont"/>
    <w:link w:val="Header"/>
    <w:uiPriority w:val="99"/>
    <w:rsid w:val="00F722B2"/>
    <w:rPr>
      <w:rFonts w:eastAsia="Times New Roman" w:cs="Times New Roman"/>
      <w:sz w:val="24"/>
      <w:szCs w:val="24"/>
    </w:rPr>
  </w:style>
  <w:style w:type="paragraph" w:styleId="Footer">
    <w:name w:val="footer"/>
    <w:basedOn w:val="Normal"/>
    <w:link w:val="FooterChar"/>
    <w:uiPriority w:val="99"/>
    <w:unhideWhenUsed/>
    <w:rsid w:val="00F722B2"/>
    <w:pPr>
      <w:tabs>
        <w:tab w:val="center" w:pos="4680"/>
        <w:tab w:val="right" w:pos="9360"/>
      </w:tabs>
    </w:pPr>
  </w:style>
  <w:style w:type="character" w:customStyle="1" w:styleId="FooterChar">
    <w:name w:val="Footer Char"/>
    <w:basedOn w:val="DefaultParagraphFont"/>
    <w:link w:val="Footer"/>
    <w:uiPriority w:val="99"/>
    <w:rsid w:val="00F722B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7138A-C873-4DAC-ADB5-7A056C4CA035}"/>
</file>

<file path=customXml/itemProps2.xml><?xml version="1.0" encoding="utf-8"?>
<ds:datastoreItem xmlns:ds="http://schemas.openxmlformats.org/officeDocument/2006/customXml" ds:itemID="{214BC081-2A00-43E0-A038-086EC3BDDE2C}"/>
</file>

<file path=customXml/itemProps3.xml><?xml version="1.0" encoding="utf-8"?>
<ds:datastoreItem xmlns:ds="http://schemas.openxmlformats.org/officeDocument/2006/customXml" ds:itemID="{E269C5A2-4E6A-411E-BF77-A92BCB2BBE6F}"/>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2023-08-02T02:58:00Z</cp:lastPrinted>
  <dcterms:created xsi:type="dcterms:W3CDTF">2023-04-19T22:21:00Z</dcterms:created>
  <dcterms:modified xsi:type="dcterms:W3CDTF">2023-08-02T02:59:00Z</dcterms:modified>
</cp:coreProperties>
</file>